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B6" w:rsidRPr="00DB3D26" w:rsidRDefault="00603926" w:rsidP="00616676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 Powiatu Konińskiego</w:t>
      </w:r>
    </w:p>
    <w:p w:rsidR="002749B6" w:rsidRDefault="002749B6" w:rsidP="00603926">
      <w:pPr>
        <w:spacing w:after="0" w:line="240" w:lineRule="exact"/>
        <w:ind w:left="-284" w:right="-284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działając</w:t>
      </w:r>
      <w:proofErr w:type="gramEnd"/>
      <w:r>
        <w:rPr>
          <w:rFonts w:ascii="Arial" w:hAnsi="Arial" w:cs="Arial"/>
        </w:rPr>
        <w:t xml:space="preserve">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063AC6">
        <w:rPr>
          <w:rFonts w:ascii="Arial" w:hAnsi="Arial" w:cs="Arial"/>
        </w:rPr>
        <w:t xml:space="preserve">ciami (Dz. U. </w:t>
      </w:r>
      <w:proofErr w:type="gramStart"/>
      <w:r w:rsidR="00063AC6">
        <w:rPr>
          <w:rFonts w:ascii="Arial" w:hAnsi="Arial" w:cs="Arial"/>
        </w:rPr>
        <w:t>z</w:t>
      </w:r>
      <w:proofErr w:type="gramEnd"/>
      <w:r w:rsidR="00063AC6">
        <w:rPr>
          <w:rFonts w:ascii="Arial" w:hAnsi="Arial" w:cs="Arial"/>
        </w:rPr>
        <w:t xml:space="preserve"> </w:t>
      </w:r>
      <w:r w:rsidR="00057062">
        <w:rPr>
          <w:rFonts w:ascii="Arial" w:hAnsi="Arial" w:cs="Arial"/>
        </w:rPr>
        <w:t>2024</w:t>
      </w:r>
      <w:r w:rsidR="00063AC6">
        <w:rPr>
          <w:rFonts w:ascii="Arial" w:hAnsi="Arial" w:cs="Arial"/>
        </w:rPr>
        <w:t xml:space="preserve"> r. poz. </w:t>
      </w:r>
      <w:r w:rsidR="00057062" w:rsidRPr="00057062">
        <w:rPr>
          <w:rFonts w:ascii="Arial" w:hAnsi="Arial" w:cs="Arial"/>
        </w:rPr>
        <w:t xml:space="preserve">1145 </w:t>
      </w:r>
      <w:r w:rsidR="007C6F65">
        <w:rPr>
          <w:rFonts w:ascii="Arial" w:hAnsi="Arial" w:cs="Arial"/>
        </w:rPr>
        <w:t>ze zm.</w:t>
      </w:r>
      <w:r>
        <w:rPr>
          <w:rFonts w:ascii="Arial" w:hAnsi="Arial" w:cs="Arial"/>
        </w:rPr>
        <w:t>) przekazuje do publicznej wiadomości:</w:t>
      </w:r>
    </w:p>
    <w:p w:rsidR="00616676" w:rsidRDefault="00616676" w:rsidP="00321418">
      <w:pPr>
        <w:spacing w:after="0" w:line="220" w:lineRule="exact"/>
        <w:jc w:val="center"/>
        <w:rPr>
          <w:rFonts w:ascii="Arial" w:hAnsi="Arial" w:cs="Arial"/>
        </w:rPr>
      </w:pPr>
    </w:p>
    <w:p w:rsidR="002749B6" w:rsidRDefault="002749B6" w:rsidP="007C6F65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 xml:space="preserve">ści </w:t>
      </w:r>
      <w:r w:rsidR="00603926">
        <w:rPr>
          <w:rFonts w:ascii="Arial" w:hAnsi="Arial" w:cs="Arial"/>
          <w:b/>
          <w:sz w:val="24"/>
          <w:szCs w:val="24"/>
        </w:rPr>
        <w:t>Powiatu Konińskiego</w:t>
      </w:r>
      <w:r w:rsidR="009E70E3">
        <w:rPr>
          <w:rFonts w:ascii="Arial" w:hAnsi="Arial" w:cs="Arial"/>
          <w:b/>
          <w:sz w:val="24"/>
          <w:szCs w:val="24"/>
        </w:rPr>
        <w:t xml:space="preserve"> </w:t>
      </w:r>
      <w:r w:rsidR="00603926">
        <w:rPr>
          <w:rFonts w:ascii="Arial" w:hAnsi="Arial" w:cs="Arial"/>
          <w:b/>
          <w:sz w:val="24"/>
          <w:szCs w:val="24"/>
        </w:rPr>
        <w:t xml:space="preserve">przeznaczonej </w:t>
      </w:r>
      <w:r w:rsidR="00A30B2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do </w:t>
      </w:r>
      <w:r w:rsidR="00D65433">
        <w:rPr>
          <w:rFonts w:ascii="Arial" w:hAnsi="Arial" w:cs="Arial"/>
          <w:b/>
          <w:sz w:val="24"/>
          <w:szCs w:val="24"/>
        </w:rPr>
        <w:t>sprzedaży</w:t>
      </w:r>
      <w:r w:rsidR="007C6F65">
        <w:rPr>
          <w:rFonts w:ascii="Arial" w:hAnsi="Arial" w:cs="Arial"/>
          <w:b/>
          <w:sz w:val="24"/>
          <w:szCs w:val="24"/>
        </w:rPr>
        <w:t xml:space="preserve"> w drodze </w:t>
      </w:r>
      <w:r w:rsidR="00244809">
        <w:rPr>
          <w:rFonts w:ascii="Arial" w:hAnsi="Arial" w:cs="Arial"/>
          <w:b/>
          <w:sz w:val="24"/>
          <w:szCs w:val="24"/>
        </w:rPr>
        <w:t>przetargu</w:t>
      </w:r>
      <w:r w:rsidR="007C6F6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229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1578"/>
        <w:gridCol w:w="839"/>
        <w:gridCol w:w="1367"/>
        <w:gridCol w:w="1698"/>
        <w:gridCol w:w="1766"/>
      </w:tblGrid>
      <w:tr w:rsidR="007C74A0" w:rsidRPr="00921834" w:rsidTr="007C74A0">
        <w:trPr>
          <w:trHeight w:val="259"/>
          <w:jc w:val="center"/>
        </w:trPr>
        <w:tc>
          <w:tcPr>
            <w:tcW w:w="1981" w:type="dxa"/>
            <w:vAlign w:val="center"/>
          </w:tcPr>
          <w:p w:rsidR="008E6D6F" w:rsidRPr="00921834" w:rsidRDefault="008E6D6F" w:rsidP="00E739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834"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  <w:p w:rsidR="008E6D6F" w:rsidRPr="00921834" w:rsidRDefault="008E6D6F" w:rsidP="00E739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834">
              <w:rPr>
                <w:rFonts w:ascii="Arial" w:hAnsi="Arial" w:cs="Arial"/>
                <w:b/>
                <w:sz w:val="18"/>
                <w:szCs w:val="18"/>
              </w:rPr>
              <w:t>(obręb ewidencyjny)</w:t>
            </w:r>
          </w:p>
        </w:tc>
        <w:tc>
          <w:tcPr>
            <w:tcW w:w="1578" w:type="dxa"/>
            <w:vAlign w:val="center"/>
          </w:tcPr>
          <w:p w:rsidR="008E6D6F" w:rsidRPr="00921834" w:rsidRDefault="008E6D6F" w:rsidP="00E739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834">
              <w:rPr>
                <w:rFonts w:ascii="Arial" w:hAnsi="Arial" w:cs="Arial"/>
                <w:b/>
                <w:sz w:val="18"/>
                <w:szCs w:val="18"/>
              </w:rPr>
              <w:t>Adres nieruchomości</w:t>
            </w:r>
          </w:p>
        </w:tc>
        <w:tc>
          <w:tcPr>
            <w:tcW w:w="839" w:type="dxa"/>
            <w:vAlign w:val="center"/>
          </w:tcPr>
          <w:p w:rsidR="008E6D6F" w:rsidRPr="00921834" w:rsidRDefault="008E6D6F" w:rsidP="00E739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834">
              <w:rPr>
                <w:rFonts w:ascii="Arial" w:hAnsi="Arial" w:cs="Arial"/>
                <w:b/>
                <w:sz w:val="18"/>
                <w:szCs w:val="18"/>
              </w:rPr>
              <w:t>Nr działek</w:t>
            </w:r>
          </w:p>
        </w:tc>
        <w:tc>
          <w:tcPr>
            <w:tcW w:w="1367" w:type="dxa"/>
            <w:vAlign w:val="center"/>
          </w:tcPr>
          <w:p w:rsidR="008E6D6F" w:rsidRPr="00921834" w:rsidRDefault="008E6D6F" w:rsidP="00E739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834">
              <w:rPr>
                <w:rFonts w:ascii="Arial" w:hAnsi="Arial" w:cs="Arial"/>
                <w:b/>
                <w:sz w:val="18"/>
                <w:szCs w:val="18"/>
              </w:rPr>
              <w:t>Powierzchnia działek</w:t>
            </w:r>
          </w:p>
        </w:tc>
        <w:tc>
          <w:tcPr>
            <w:tcW w:w="1698" w:type="dxa"/>
            <w:vAlign w:val="center"/>
          </w:tcPr>
          <w:p w:rsidR="008E6D6F" w:rsidRPr="00921834" w:rsidRDefault="008E6D6F" w:rsidP="00E739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834">
              <w:rPr>
                <w:rFonts w:ascii="Arial" w:hAnsi="Arial" w:cs="Arial"/>
                <w:b/>
                <w:sz w:val="18"/>
                <w:szCs w:val="18"/>
              </w:rPr>
              <w:t>Nr księgi wieczystej</w:t>
            </w:r>
          </w:p>
        </w:tc>
        <w:tc>
          <w:tcPr>
            <w:tcW w:w="1766" w:type="dxa"/>
            <w:vAlign w:val="center"/>
          </w:tcPr>
          <w:p w:rsidR="008E6D6F" w:rsidRPr="00921834" w:rsidRDefault="008E6D6F" w:rsidP="00E739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1834">
              <w:rPr>
                <w:rFonts w:ascii="Arial" w:hAnsi="Arial" w:cs="Arial"/>
                <w:b/>
                <w:sz w:val="18"/>
                <w:szCs w:val="18"/>
              </w:rPr>
              <w:t>Cena sprzedaży</w:t>
            </w:r>
          </w:p>
        </w:tc>
      </w:tr>
      <w:tr w:rsidR="007C74A0" w:rsidRPr="00057062" w:rsidTr="007C74A0">
        <w:trPr>
          <w:trHeight w:val="260"/>
          <w:jc w:val="center"/>
        </w:trPr>
        <w:tc>
          <w:tcPr>
            <w:tcW w:w="1981" w:type="dxa"/>
            <w:vAlign w:val="center"/>
          </w:tcPr>
          <w:p w:rsidR="00057062" w:rsidRPr="00057062" w:rsidRDefault="00057062" w:rsidP="00ED3D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62">
              <w:rPr>
                <w:rFonts w:ascii="Arial" w:hAnsi="Arial" w:cs="Arial"/>
                <w:sz w:val="18"/>
                <w:szCs w:val="18"/>
              </w:rPr>
              <w:t>Żychlin</w:t>
            </w:r>
          </w:p>
        </w:tc>
        <w:tc>
          <w:tcPr>
            <w:tcW w:w="1578" w:type="dxa"/>
            <w:vAlign w:val="center"/>
          </w:tcPr>
          <w:p w:rsidR="00057062" w:rsidRPr="00057062" w:rsidRDefault="00057062" w:rsidP="00ED3D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62">
              <w:rPr>
                <w:rFonts w:ascii="Arial" w:hAnsi="Arial" w:cs="Arial"/>
                <w:sz w:val="18"/>
                <w:szCs w:val="18"/>
              </w:rPr>
              <w:t>Żychlin,</w:t>
            </w:r>
          </w:p>
          <w:p w:rsidR="00057062" w:rsidRPr="00057062" w:rsidRDefault="00057062" w:rsidP="00ED3D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7062">
              <w:rPr>
                <w:rFonts w:ascii="Arial" w:hAnsi="Arial" w:cs="Arial"/>
                <w:sz w:val="18"/>
                <w:szCs w:val="18"/>
              </w:rPr>
              <w:t>gm</w:t>
            </w:r>
            <w:proofErr w:type="gramEnd"/>
            <w:r w:rsidRPr="00057062">
              <w:rPr>
                <w:rFonts w:ascii="Arial" w:hAnsi="Arial" w:cs="Arial"/>
                <w:sz w:val="18"/>
                <w:szCs w:val="18"/>
              </w:rPr>
              <w:t>. Stare Miasto</w:t>
            </w:r>
          </w:p>
        </w:tc>
        <w:tc>
          <w:tcPr>
            <w:tcW w:w="839" w:type="dxa"/>
            <w:vAlign w:val="center"/>
          </w:tcPr>
          <w:p w:rsidR="00057062" w:rsidRPr="00057062" w:rsidRDefault="00057062" w:rsidP="00ED3D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62">
              <w:rPr>
                <w:rFonts w:ascii="Arial" w:hAnsi="Arial" w:cs="Arial"/>
                <w:sz w:val="18"/>
                <w:szCs w:val="18"/>
              </w:rPr>
              <w:t>668/1</w:t>
            </w:r>
          </w:p>
        </w:tc>
        <w:tc>
          <w:tcPr>
            <w:tcW w:w="1367" w:type="dxa"/>
            <w:vAlign w:val="center"/>
          </w:tcPr>
          <w:p w:rsidR="00057062" w:rsidRPr="00057062" w:rsidRDefault="00057062" w:rsidP="00ED3D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7062">
              <w:rPr>
                <w:rFonts w:ascii="Arial" w:hAnsi="Arial" w:cs="Arial"/>
                <w:sz w:val="18"/>
                <w:szCs w:val="18"/>
              </w:rPr>
              <w:t>0,5100 ha</w:t>
            </w:r>
            <w:proofErr w:type="gramEnd"/>
          </w:p>
        </w:tc>
        <w:tc>
          <w:tcPr>
            <w:tcW w:w="1698" w:type="dxa"/>
            <w:vAlign w:val="center"/>
          </w:tcPr>
          <w:p w:rsidR="00057062" w:rsidRPr="00057062" w:rsidRDefault="00057062" w:rsidP="00ED3DD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062">
              <w:rPr>
                <w:rFonts w:ascii="Arial" w:hAnsi="Arial" w:cs="Arial"/>
                <w:sz w:val="18"/>
                <w:szCs w:val="18"/>
              </w:rPr>
              <w:t>KN1N/00044317/9</w:t>
            </w:r>
          </w:p>
        </w:tc>
        <w:tc>
          <w:tcPr>
            <w:tcW w:w="1766" w:type="dxa"/>
            <w:vAlign w:val="center"/>
          </w:tcPr>
          <w:p w:rsidR="00057062" w:rsidRDefault="00057062" w:rsidP="0005706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Pr="000570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057062">
              <w:rPr>
                <w:rFonts w:ascii="Arial" w:hAnsi="Arial" w:cs="Arial"/>
                <w:sz w:val="18"/>
                <w:szCs w:val="18"/>
              </w:rPr>
              <w:t>,00 zł</w:t>
            </w:r>
            <w:proofErr w:type="gramEnd"/>
          </w:p>
          <w:p w:rsidR="00113375" w:rsidRPr="007C74A0" w:rsidRDefault="00113375" w:rsidP="0011337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C74A0">
              <w:rPr>
                <w:rFonts w:ascii="Arial" w:hAnsi="Arial" w:cs="Arial"/>
                <w:sz w:val="14"/>
                <w:szCs w:val="14"/>
              </w:rPr>
              <w:t>(zakup zwolniony z VAT)</w:t>
            </w:r>
          </w:p>
        </w:tc>
      </w:tr>
    </w:tbl>
    <w:p w:rsidR="002749B6" w:rsidRDefault="002749B6" w:rsidP="00191D9A">
      <w:pPr>
        <w:spacing w:after="0" w:line="200" w:lineRule="exact"/>
        <w:jc w:val="center"/>
        <w:rPr>
          <w:rFonts w:ascii="Arial" w:hAnsi="Arial" w:cs="Arial"/>
        </w:rPr>
      </w:pPr>
    </w:p>
    <w:p w:rsidR="002C4FDF" w:rsidRDefault="002C4FDF" w:rsidP="005439AD">
      <w:pPr>
        <w:spacing w:after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:rsidR="004C6F8E" w:rsidRDefault="00057062" w:rsidP="00057062">
      <w:pPr>
        <w:spacing w:after="0" w:line="220" w:lineRule="exac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Nieruchomość </w:t>
      </w:r>
      <w:r w:rsidRPr="00D10B98">
        <w:rPr>
          <w:rFonts w:ascii="Arial" w:eastAsia="Calibri" w:hAnsi="Arial" w:cs="Arial"/>
        </w:rPr>
        <w:t>nie ma sporządzonego aktualnego miejscowego planu zagospodarowania przestrzennego</w:t>
      </w:r>
      <w:r>
        <w:rPr>
          <w:rFonts w:ascii="Arial" w:eastAsia="Calibri" w:hAnsi="Arial" w:cs="Arial"/>
        </w:rPr>
        <w:t xml:space="preserve">. </w:t>
      </w:r>
      <w:r w:rsidR="005042E9" w:rsidRPr="001E0B5C">
        <w:rPr>
          <w:rFonts w:ascii="Arial" w:eastAsia="Arial" w:hAnsi="Arial" w:cs="Arial"/>
        </w:rPr>
        <w:t xml:space="preserve">Zgodnie ze studium uwarunkowań i kierunków zagospodarowania przestrzennego Gminy Stare Miasto przyjętym Uchwałą nr III/22/2024 </w:t>
      </w:r>
      <w:r w:rsidR="005042E9">
        <w:rPr>
          <w:rFonts w:ascii="Arial" w:eastAsia="Arial" w:hAnsi="Arial" w:cs="Arial"/>
        </w:rPr>
        <w:br/>
      </w:r>
      <w:r w:rsidR="005042E9" w:rsidRPr="001E0B5C">
        <w:rPr>
          <w:rFonts w:ascii="Arial" w:eastAsia="Arial" w:hAnsi="Arial" w:cs="Arial"/>
        </w:rPr>
        <w:t>z dnia 27 czerwca 2024</w:t>
      </w:r>
      <w:r w:rsidR="005042E9">
        <w:rPr>
          <w:rFonts w:ascii="Arial" w:eastAsia="Arial" w:hAnsi="Arial" w:cs="Arial"/>
        </w:rPr>
        <w:t> </w:t>
      </w:r>
      <w:r w:rsidR="005042E9" w:rsidRPr="001E0B5C">
        <w:rPr>
          <w:rFonts w:ascii="Arial" w:eastAsia="Arial" w:hAnsi="Arial" w:cs="Arial"/>
        </w:rPr>
        <w:t>r. działka oznaczona numerem 668/1 znajduj</w:t>
      </w:r>
      <w:r w:rsidR="007D4149">
        <w:rPr>
          <w:rFonts w:ascii="Arial" w:eastAsia="Arial" w:hAnsi="Arial" w:cs="Arial"/>
        </w:rPr>
        <w:t>e</w:t>
      </w:r>
      <w:r w:rsidR="005042E9" w:rsidRPr="001E0B5C">
        <w:rPr>
          <w:rFonts w:ascii="Arial" w:eastAsia="Arial" w:hAnsi="Arial" w:cs="Arial"/>
        </w:rPr>
        <w:t xml:space="preserve"> się na terenie: </w:t>
      </w:r>
      <w:r w:rsidR="005042E9">
        <w:rPr>
          <w:rFonts w:ascii="Arial" w:eastAsia="Arial" w:hAnsi="Arial" w:cs="Arial"/>
        </w:rPr>
        <w:br/>
      </w:r>
      <w:r w:rsidR="005042E9" w:rsidRPr="001E0B5C">
        <w:rPr>
          <w:rFonts w:ascii="Arial" w:eastAsia="Arial" w:hAnsi="Arial" w:cs="Arial"/>
        </w:rPr>
        <w:t>R – tereny roln</w:t>
      </w:r>
      <w:r w:rsidR="00244809">
        <w:rPr>
          <w:rFonts w:ascii="Arial" w:eastAsia="Arial" w:hAnsi="Arial" w:cs="Arial"/>
        </w:rPr>
        <w:t>icze</w:t>
      </w:r>
      <w:r w:rsidR="005042E9" w:rsidRPr="001E0B5C">
        <w:rPr>
          <w:rFonts w:ascii="Arial" w:eastAsia="Arial" w:hAnsi="Arial" w:cs="Arial"/>
        </w:rPr>
        <w:t>, R</w:t>
      </w:r>
      <w:r w:rsidR="005042E9" w:rsidRPr="005042E9">
        <w:rPr>
          <w:rFonts w:ascii="Arial" w:eastAsia="Arial" w:hAnsi="Arial" w:cs="Arial"/>
          <w:vertAlign w:val="subscript"/>
        </w:rPr>
        <w:t>Ł</w:t>
      </w:r>
      <w:r w:rsidR="005042E9" w:rsidRPr="001E0B5C">
        <w:rPr>
          <w:rFonts w:ascii="Arial" w:eastAsia="Arial" w:hAnsi="Arial" w:cs="Arial"/>
        </w:rPr>
        <w:t xml:space="preserve">- tereny łąk - trwałe użytki zielone. Nieruchomość znajduje się </w:t>
      </w:r>
      <w:r w:rsidR="005042E9">
        <w:rPr>
          <w:rFonts w:ascii="Arial" w:eastAsia="Arial" w:hAnsi="Arial" w:cs="Arial"/>
        </w:rPr>
        <w:br/>
      </w:r>
      <w:r w:rsidR="005042E9" w:rsidRPr="001E0B5C">
        <w:rPr>
          <w:rFonts w:ascii="Arial" w:eastAsia="Arial" w:hAnsi="Arial" w:cs="Arial"/>
        </w:rPr>
        <w:t>w granicach chronionego krajobrazu.</w:t>
      </w:r>
    </w:p>
    <w:p w:rsidR="004C6F8E" w:rsidRDefault="004C6F8E" w:rsidP="005439AD">
      <w:pPr>
        <w:spacing w:after="0" w:line="240" w:lineRule="atLeast"/>
        <w:jc w:val="both"/>
        <w:rPr>
          <w:rFonts w:ascii="Arial" w:eastAsia="Calibri" w:hAnsi="Arial" w:cs="Arial"/>
        </w:rPr>
      </w:pPr>
    </w:p>
    <w:p w:rsidR="002C4FDF" w:rsidRDefault="002C4FDF" w:rsidP="005439AD">
      <w:pPr>
        <w:spacing w:after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:rsidR="00057062" w:rsidRDefault="00057062" w:rsidP="00057062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Nieruchomość gruntowa niezabudowana</w:t>
      </w:r>
    </w:p>
    <w:p w:rsidR="008E5898" w:rsidRDefault="008E5898" w:rsidP="005439AD">
      <w:pPr>
        <w:spacing w:after="0" w:line="240" w:lineRule="atLeast"/>
        <w:jc w:val="both"/>
        <w:rPr>
          <w:rFonts w:ascii="Arial" w:hAnsi="Arial" w:cs="Arial"/>
          <w:b/>
        </w:rPr>
      </w:pPr>
    </w:p>
    <w:p w:rsidR="002C4FDF" w:rsidRDefault="002C4FDF" w:rsidP="005439AD">
      <w:pPr>
        <w:spacing w:after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:rsidR="00057062" w:rsidRDefault="00057062" w:rsidP="00057062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Nieruchomość położona jest na obrzeżu miejscowości Żychlin. </w:t>
      </w:r>
      <w:r w:rsidRPr="00BA5524">
        <w:rPr>
          <w:rFonts w:ascii="Arial" w:hAnsi="Arial" w:cs="Arial"/>
        </w:rPr>
        <w:t xml:space="preserve">Dojazd do nieruchomości </w:t>
      </w:r>
      <w:r w:rsidR="007C74A0">
        <w:rPr>
          <w:rFonts w:ascii="Arial" w:hAnsi="Arial" w:cs="Arial"/>
        </w:rPr>
        <w:t xml:space="preserve">jest </w:t>
      </w:r>
      <w:r w:rsidRPr="00BA5524">
        <w:rPr>
          <w:rFonts w:ascii="Arial" w:hAnsi="Arial" w:cs="Arial"/>
        </w:rPr>
        <w:t xml:space="preserve">drogą asfaltową (ulicą Leśną). </w:t>
      </w:r>
      <w:r w:rsidR="007C74A0">
        <w:rPr>
          <w:rFonts w:ascii="Arial" w:hAnsi="Arial" w:cs="Arial"/>
        </w:rPr>
        <w:t xml:space="preserve">Strona północna działki przylega do ulicy Leśnej, od strony południowej ograniczona jest rowem melioracyjnym. Stroną zachodnią działka graniczy </w:t>
      </w:r>
      <w:r w:rsidR="007C74A0">
        <w:rPr>
          <w:rFonts w:ascii="Arial" w:hAnsi="Arial" w:cs="Arial"/>
        </w:rPr>
        <w:br/>
        <w:t>z drogą gruntową, stroną wschodnią z terenami zadrzewionymi. W części północnej działkę porastają zarośla i kępa drzew liściastych z samosiewu. W najbliższym otoczeniu nieruchomości znajdują się budynki mieszkalne jednorodzinne i kompleksy leśne</w:t>
      </w:r>
      <w:r>
        <w:rPr>
          <w:rFonts w:ascii="Arial" w:hAnsi="Arial" w:cs="Arial"/>
        </w:rPr>
        <w:t xml:space="preserve">. </w:t>
      </w:r>
      <w:r w:rsidRPr="00E11246">
        <w:rPr>
          <w:rFonts w:ascii="Arial" w:hAnsi="Arial" w:cs="Arial"/>
        </w:rPr>
        <w:t xml:space="preserve">Zgodnie </w:t>
      </w:r>
      <w:r w:rsidR="007C74A0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ewidencją gruntów i budynków powyższa nieruchomość oznaczona jest następująco: grunty orne – </w:t>
      </w:r>
      <w:proofErr w:type="spellStart"/>
      <w:r>
        <w:rPr>
          <w:rFonts w:ascii="Arial" w:hAnsi="Arial" w:cs="Arial"/>
        </w:rPr>
        <w:t>RIVa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RIVb</w:t>
      </w:r>
      <w:proofErr w:type="spellEnd"/>
      <w:r>
        <w:rPr>
          <w:rFonts w:ascii="Arial" w:hAnsi="Arial" w:cs="Arial"/>
        </w:rPr>
        <w:t>, RV, łąki – ŁIV, ŁV, nieużytki – N.</w:t>
      </w:r>
    </w:p>
    <w:p w:rsidR="00194E31" w:rsidRDefault="00194E31" w:rsidP="005439AD">
      <w:pPr>
        <w:spacing w:after="0" w:line="240" w:lineRule="atLeast"/>
        <w:jc w:val="both"/>
        <w:rPr>
          <w:rFonts w:ascii="Arial" w:hAnsi="Arial" w:cs="Arial"/>
        </w:rPr>
      </w:pPr>
    </w:p>
    <w:p w:rsidR="003E324E" w:rsidRPr="00411B09" w:rsidRDefault="00D65433" w:rsidP="005439AD">
      <w:pPr>
        <w:spacing w:after="0" w:line="240" w:lineRule="atLeast"/>
        <w:jc w:val="both"/>
        <w:rPr>
          <w:rFonts w:ascii="Arial" w:hAnsi="Arial" w:cs="Arial"/>
        </w:rPr>
      </w:pPr>
      <w:r w:rsidRPr="00411B09">
        <w:rPr>
          <w:rFonts w:ascii="Arial" w:hAnsi="Arial" w:cs="Arial"/>
          <w:b/>
        </w:rPr>
        <w:t xml:space="preserve">Termin do złożenia wniosku przez osoby, którym przysługuje pierwszeństwo </w:t>
      </w:r>
      <w:r w:rsidR="00AF717C">
        <w:rPr>
          <w:rFonts w:ascii="Arial" w:hAnsi="Arial" w:cs="Arial"/>
          <w:b/>
        </w:rPr>
        <w:br/>
      </w:r>
      <w:r w:rsidRPr="00411B09">
        <w:rPr>
          <w:rFonts w:ascii="Arial" w:hAnsi="Arial" w:cs="Arial"/>
          <w:b/>
        </w:rPr>
        <w:t>w nabyciu na podstawie art. 34 ust. 1 pkt 1 i pkt 2 ustawy o gospodarce nieruchomościami</w:t>
      </w:r>
      <w:r w:rsidR="003E324E" w:rsidRPr="00411B09">
        <w:rPr>
          <w:rFonts w:ascii="Arial" w:hAnsi="Arial" w:cs="Arial"/>
          <w:b/>
        </w:rPr>
        <w:t xml:space="preserve"> wyznaczono do </w:t>
      </w:r>
      <w:r w:rsidR="00BC2BB6" w:rsidRPr="00BC2BB6">
        <w:rPr>
          <w:rFonts w:ascii="Arial" w:hAnsi="Arial" w:cs="Arial"/>
          <w:b/>
        </w:rPr>
        <w:t>5 maja 2025 r.</w:t>
      </w:r>
      <w:r w:rsidR="00BC2BB6">
        <w:rPr>
          <w:rFonts w:ascii="Arial" w:hAnsi="Arial" w:cs="Arial"/>
        </w:rPr>
        <w:t xml:space="preserve"> </w:t>
      </w:r>
      <w:r w:rsidR="003E324E" w:rsidRPr="00411B09">
        <w:rPr>
          <w:rFonts w:ascii="Arial" w:hAnsi="Arial" w:cs="Arial"/>
        </w:rPr>
        <w:t>Osoby te są zobowiązane do złożenia oświadczenia, że wyrażają zgodę na cenę podaną w niniejszym wykazie.</w:t>
      </w:r>
    </w:p>
    <w:p w:rsidR="006B180E" w:rsidRDefault="006B180E" w:rsidP="005439AD">
      <w:pPr>
        <w:spacing w:after="0" w:line="240" w:lineRule="atLeast"/>
        <w:jc w:val="both"/>
        <w:rPr>
          <w:rFonts w:ascii="Arial" w:hAnsi="Arial" w:cs="Arial"/>
          <w:b/>
        </w:rPr>
      </w:pPr>
    </w:p>
    <w:p w:rsidR="00FD66EB" w:rsidRPr="00FD66EB" w:rsidRDefault="00FD66EB" w:rsidP="005439AD">
      <w:pPr>
        <w:spacing w:after="0" w:line="240" w:lineRule="atLeas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542C8C">
        <w:rPr>
          <w:rFonts w:ascii="Arial" w:hAnsi="Arial" w:cs="Arial"/>
          <w:b/>
        </w:rPr>
        <w:t>sprzedaży</w:t>
      </w:r>
    </w:p>
    <w:p w:rsidR="00057062" w:rsidRDefault="00057062" w:rsidP="00057062">
      <w:pPr>
        <w:spacing w:after="0" w:line="220" w:lineRule="exact"/>
        <w:jc w:val="both"/>
        <w:rPr>
          <w:rFonts w:ascii="Arial" w:eastAsia="Calibri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>
        <w:rPr>
          <w:rFonts w:ascii="Arial" w:eastAsia="Calibri" w:hAnsi="Arial" w:cs="Arial"/>
        </w:rPr>
        <w:t>sprzedaży w drodze przetargu ustnego nieograniczonego.</w:t>
      </w:r>
    </w:p>
    <w:p w:rsidR="00057062" w:rsidRPr="00941E36" w:rsidRDefault="00057062" w:rsidP="00057062">
      <w:pPr>
        <w:spacing w:after="0" w:line="220" w:lineRule="exact"/>
        <w:jc w:val="both"/>
        <w:rPr>
          <w:rFonts w:ascii="Arial" w:hAnsi="Arial" w:cs="Arial"/>
        </w:rPr>
      </w:pPr>
    </w:p>
    <w:p w:rsidR="00057062" w:rsidRDefault="00057062" w:rsidP="00057062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podaje się do publicznej wiadomości na okres 21 dni licząc od dnia </w:t>
      </w:r>
      <w:r>
        <w:rPr>
          <w:rFonts w:ascii="Arial" w:hAnsi="Arial" w:cs="Arial"/>
        </w:rPr>
        <w:br/>
      </w:r>
      <w:r w:rsidR="00BC2BB6">
        <w:rPr>
          <w:rFonts w:ascii="Arial" w:hAnsi="Arial" w:cs="Arial"/>
        </w:rPr>
        <w:t xml:space="preserve">19 marca 2025 r. </w:t>
      </w:r>
    </w:p>
    <w:p w:rsidR="000E727F" w:rsidRPr="000E727F" w:rsidRDefault="000E727F" w:rsidP="000E727F">
      <w:pPr>
        <w:spacing w:after="0" w:line="220" w:lineRule="exact"/>
        <w:jc w:val="both"/>
        <w:rPr>
          <w:rFonts w:ascii="Arial" w:hAnsi="Arial" w:cs="Arial"/>
        </w:rPr>
      </w:pPr>
    </w:p>
    <w:p w:rsidR="002C4FDF" w:rsidRDefault="002C4FDF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>w</w:t>
      </w:r>
      <w:r w:rsidR="001350A6">
        <w:rPr>
          <w:rFonts w:ascii="Arial" w:hAnsi="Arial" w:cs="Arial"/>
          <w:sz w:val="18"/>
          <w:szCs w:val="18"/>
        </w:rPr>
        <w:t>yznaczona do kontaktu: Wiktor Targoński</w:t>
      </w:r>
    </w:p>
    <w:p w:rsidR="002C4FDF" w:rsidRPr="002C4FDF" w:rsidRDefault="001350A6" w:rsidP="00191D9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telefonu: </w:t>
      </w:r>
      <w:r w:rsidR="00991706">
        <w:rPr>
          <w:rFonts w:ascii="Arial" w:hAnsi="Arial" w:cs="Arial"/>
          <w:sz w:val="18"/>
          <w:szCs w:val="18"/>
        </w:rPr>
        <w:t xml:space="preserve">63 24 03 </w:t>
      </w:r>
      <w:r w:rsidR="00057062">
        <w:rPr>
          <w:rFonts w:ascii="Arial" w:hAnsi="Arial" w:cs="Arial"/>
          <w:sz w:val="18"/>
          <w:szCs w:val="18"/>
        </w:rPr>
        <w:t>246</w:t>
      </w:r>
    </w:p>
    <w:sectPr w:rsidR="002C4FDF" w:rsidRPr="002C4FDF" w:rsidSect="009E3D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30F" w:rsidRDefault="007B430F" w:rsidP="00777AE1">
      <w:pPr>
        <w:spacing w:after="0" w:line="240" w:lineRule="auto"/>
      </w:pPr>
      <w:r>
        <w:separator/>
      </w:r>
    </w:p>
  </w:endnote>
  <w:endnote w:type="continuationSeparator" w:id="0">
    <w:p w:rsidR="007B430F" w:rsidRDefault="007B430F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30F" w:rsidRDefault="007B430F" w:rsidP="00777AE1">
      <w:pPr>
        <w:spacing w:after="0" w:line="240" w:lineRule="auto"/>
      </w:pPr>
      <w:r>
        <w:separator/>
      </w:r>
    </w:p>
  </w:footnote>
  <w:footnote w:type="continuationSeparator" w:id="0">
    <w:p w:rsidR="007B430F" w:rsidRDefault="007B430F" w:rsidP="0077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546" w:rsidRDefault="003E7546" w:rsidP="003E7546">
    <w:pPr>
      <w:pStyle w:val="Nagwek"/>
      <w:tabs>
        <w:tab w:val="right" w:pos="13892"/>
      </w:tabs>
      <w:jc w:val="right"/>
      <w:rPr>
        <w:color w:val="000000"/>
        <w:u w:color="000000"/>
      </w:rPr>
    </w:pPr>
  </w:p>
  <w:p w:rsidR="00BC2BB6" w:rsidRPr="003E7546" w:rsidRDefault="00BC2BB6" w:rsidP="003E7546">
    <w:pPr>
      <w:pStyle w:val="Nagwek"/>
      <w:tabs>
        <w:tab w:val="right" w:pos="13892"/>
      </w:tabs>
      <w:jc w:val="right"/>
      <w:rPr>
        <w:rFonts w:ascii="Arial" w:hAnsi="Arial" w:cs="Arial"/>
        <w:sz w:val="20"/>
        <w:szCs w:val="20"/>
      </w:rPr>
    </w:pPr>
  </w:p>
  <w:p w:rsidR="003E7546" w:rsidRDefault="003E75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9B6"/>
    <w:rsid w:val="00025EE2"/>
    <w:rsid w:val="00057062"/>
    <w:rsid w:val="00063AC6"/>
    <w:rsid w:val="00070F4D"/>
    <w:rsid w:val="00097A64"/>
    <w:rsid w:val="000A5EEE"/>
    <w:rsid w:val="000E727F"/>
    <w:rsid w:val="000F541C"/>
    <w:rsid w:val="00113375"/>
    <w:rsid w:val="00126050"/>
    <w:rsid w:val="001350A6"/>
    <w:rsid w:val="001354AC"/>
    <w:rsid w:val="00147207"/>
    <w:rsid w:val="001750D0"/>
    <w:rsid w:val="001836BA"/>
    <w:rsid w:val="00191D9A"/>
    <w:rsid w:val="00194E31"/>
    <w:rsid w:val="001A4A29"/>
    <w:rsid w:val="001C16B6"/>
    <w:rsid w:val="001F2AB1"/>
    <w:rsid w:val="001F302A"/>
    <w:rsid w:val="00202291"/>
    <w:rsid w:val="002064F4"/>
    <w:rsid w:val="00236D02"/>
    <w:rsid w:val="00244809"/>
    <w:rsid w:val="00244B6F"/>
    <w:rsid w:val="00250C81"/>
    <w:rsid w:val="002749B6"/>
    <w:rsid w:val="00291071"/>
    <w:rsid w:val="002C4FDF"/>
    <w:rsid w:val="002F54E5"/>
    <w:rsid w:val="00304329"/>
    <w:rsid w:val="00316E9A"/>
    <w:rsid w:val="00321418"/>
    <w:rsid w:val="00322FFE"/>
    <w:rsid w:val="0032755E"/>
    <w:rsid w:val="00335AF6"/>
    <w:rsid w:val="00353762"/>
    <w:rsid w:val="003805A1"/>
    <w:rsid w:val="003C329A"/>
    <w:rsid w:val="003C6A1F"/>
    <w:rsid w:val="003E324E"/>
    <w:rsid w:val="003E5594"/>
    <w:rsid w:val="003E62B8"/>
    <w:rsid w:val="003E7546"/>
    <w:rsid w:val="00401865"/>
    <w:rsid w:val="00411B09"/>
    <w:rsid w:val="0041541F"/>
    <w:rsid w:val="0042357E"/>
    <w:rsid w:val="0044371D"/>
    <w:rsid w:val="00453294"/>
    <w:rsid w:val="00467952"/>
    <w:rsid w:val="00470F17"/>
    <w:rsid w:val="00476D7D"/>
    <w:rsid w:val="00480982"/>
    <w:rsid w:val="00480AA2"/>
    <w:rsid w:val="004B6841"/>
    <w:rsid w:val="004C6F8E"/>
    <w:rsid w:val="005042E9"/>
    <w:rsid w:val="00542C8C"/>
    <w:rsid w:val="005439AD"/>
    <w:rsid w:val="0054761A"/>
    <w:rsid w:val="00552A75"/>
    <w:rsid w:val="005548EF"/>
    <w:rsid w:val="005659EB"/>
    <w:rsid w:val="005A703C"/>
    <w:rsid w:val="005B11C5"/>
    <w:rsid w:val="005D2179"/>
    <w:rsid w:val="00603926"/>
    <w:rsid w:val="006105D7"/>
    <w:rsid w:val="00616676"/>
    <w:rsid w:val="006616C8"/>
    <w:rsid w:val="006B180E"/>
    <w:rsid w:val="006B6C14"/>
    <w:rsid w:val="006C3A45"/>
    <w:rsid w:val="006E32E3"/>
    <w:rsid w:val="006E5F11"/>
    <w:rsid w:val="006F3023"/>
    <w:rsid w:val="006F5D34"/>
    <w:rsid w:val="0070207B"/>
    <w:rsid w:val="007050A7"/>
    <w:rsid w:val="0073374F"/>
    <w:rsid w:val="007337D8"/>
    <w:rsid w:val="00744861"/>
    <w:rsid w:val="00750907"/>
    <w:rsid w:val="00777AE1"/>
    <w:rsid w:val="00790516"/>
    <w:rsid w:val="007A1B2D"/>
    <w:rsid w:val="007B430F"/>
    <w:rsid w:val="007C6F65"/>
    <w:rsid w:val="007C74A0"/>
    <w:rsid w:val="007D4149"/>
    <w:rsid w:val="007F7618"/>
    <w:rsid w:val="00851F92"/>
    <w:rsid w:val="008541FA"/>
    <w:rsid w:val="00872B76"/>
    <w:rsid w:val="00875D0B"/>
    <w:rsid w:val="008C7D1F"/>
    <w:rsid w:val="008E2510"/>
    <w:rsid w:val="008E5898"/>
    <w:rsid w:val="008E6D6F"/>
    <w:rsid w:val="009007A9"/>
    <w:rsid w:val="00907E2F"/>
    <w:rsid w:val="00917E8B"/>
    <w:rsid w:val="00921834"/>
    <w:rsid w:val="00947D03"/>
    <w:rsid w:val="00974955"/>
    <w:rsid w:val="0099112F"/>
    <w:rsid w:val="00991706"/>
    <w:rsid w:val="009A211F"/>
    <w:rsid w:val="009B37AE"/>
    <w:rsid w:val="009C1060"/>
    <w:rsid w:val="009D1EEC"/>
    <w:rsid w:val="009E3DF8"/>
    <w:rsid w:val="009E70E3"/>
    <w:rsid w:val="009F2877"/>
    <w:rsid w:val="009F3B53"/>
    <w:rsid w:val="009F5A7A"/>
    <w:rsid w:val="00A10B61"/>
    <w:rsid w:val="00A16603"/>
    <w:rsid w:val="00A22DB6"/>
    <w:rsid w:val="00A30B20"/>
    <w:rsid w:val="00A44A16"/>
    <w:rsid w:val="00A51E79"/>
    <w:rsid w:val="00A86AE5"/>
    <w:rsid w:val="00A943E2"/>
    <w:rsid w:val="00AB1143"/>
    <w:rsid w:val="00AD34FE"/>
    <w:rsid w:val="00AD522F"/>
    <w:rsid w:val="00AF2230"/>
    <w:rsid w:val="00AF341F"/>
    <w:rsid w:val="00AF717C"/>
    <w:rsid w:val="00B04520"/>
    <w:rsid w:val="00B17A73"/>
    <w:rsid w:val="00B331F1"/>
    <w:rsid w:val="00B50331"/>
    <w:rsid w:val="00B5438A"/>
    <w:rsid w:val="00B73538"/>
    <w:rsid w:val="00B7636E"/>
    <w:rsid w:val="00B764FD"/>
    <w:rsid w:val="00B84DF0"/>
    <w:rsid w:val="00B90549"/>
    <w:rsid w:val="00BB4AC1"/>
    <w:rsid w:val="00BC1557"/>
    <w:rsid w:val="00BC2BB6"/>
    <w:rsid w:val="00BD63B7"/>
    <w:rsid w:val="00C10B97"/>
    <w:rsid w:val="00C60EBA"/>
    <w:rsid w:val="00C81E8D"/>
    <w:rsid w:val="00CB48CA"/>
    <w:rsid w:val="00D12A55"/>
    <w:rsid w:val="00D36049"/>
    <w:rsid w:val="00D43C8E"/>
    <w:rsid w:val="00D51282"/>
    <w:rsid w:val="00D54328"/>
    <w:rsid w:val="00D65433"/>
    <w:rsid w:val="00D672CA"/>
    <w:rsid w:val="00D67BA4"/>
    <w:rsid w:val="00D704D9"/>
    <w:rsid w:val="00D7532E"/>
    <w:rsid w:val="00D75635"/>
    <w:rsid w:val="00D82E85"/>
    <w:rsid w:val="00D92529"/>
    <w:rsid w:val="00DB3D26"/>
    <w:rsid w:val="00DE0B29"/>
    <w:rsid w:val="00DE0D0A"/>
    <w:rsid w:val="00DE2222"/>
    <w:rsid w:val="00DF354C"/>
    <w:rsid w:val="00E0057D"/>
    <w:rsid w:val="00E00E90"/>
    <w:rsid w:val="00E0731F"/>
    <w:rsid w:val="00E11246"/>
    <w:rsid w:val="00E22C87"/>
    <w:rsid w:val="00E31636"/>
    <w:rsid w:val="00E5135F"/>
    <w:rsid w:val="00E7397A"/>
    <w:rsid w:val="00E85C9C"/>
    <w:rsid w:val="00E92B10"/>
    <w:rsid w:val="00EA21CB"/>
    <w:rsid w:val="00EA2329"/>
    <w:rsid w:val="00ED29EB"/>
    <w:rsid w:val="00EF27E3"/>
    <w:rsid w:val="00EF295E"/>
    <w:rsid w:val="00EF3608"/>
    <w:rsid w:val="00F00CB0"/>
    <w:rsid w:val="00F21829"/>
    <w:rsid w:val="00F453C3"/>
    <w:rsid w:val="00F85C1B"/>
    <w:rsid w:val="00FB681D"/>
    <w:rsid w:val="00FD0F2F"/>
    <w:rsid w:val="00FD66EB"/>
    <w:rsid w:val="00FE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3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3E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7546"/>
  </w:style>
  <w:style w:type="paragraph" w:styleId="Stopka">
    <w:name w:val="footer"/>
    <w:basedOn w:val="Normalny"/>
    <w:link w:val="StopkaZnak"/>
    <w:uiPriority w:val="99"/>
    <w:semiHidden/>
    <w:unhideWhenUsed/>
    <w:rsid w:val="003E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7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52130-7EC3-4FE0-8035-DAAF3D04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wtargonski</cp:lastModifiedBy>
  <cp:revision>86</cp:revision>
  <cp:lastPrinted>2025-02-17T13:00:00Z</cp:lastPrinted>
  <dcterms:created xsi:type="dcterms:W3CDTF">2017-02-17T09:28:00Z</dcterms:created>
  <dcterms:modified xsi:type="dcterms:W3CDTF">2025-03-13T10:19:00Z</dcterms:modified>
</cp:coreProperties>
</file>